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149ED" w14:textId="38B22F64" w:rsidR="009F1686" w:rsidRDefault="009F1686" w:rsidP="009F1686">
      <w:pPr>
        <w:jc w:val="center"/>
        <w:rPr>
          <w:rFonts w:cstheme="minorHAnsi"/>
        </w:rPr>
      </w:pPr>
      <w:bookmarkStart w:id="0" w:name="_GoBack"/>
      <w:bookmarkEnd w:id="0"/>
      <w:r>
        <w:rPr>
          <w:rFonts w:cstheme="minorHAnsi"/>
        </w:rPr>
        <w:t>D</w:t>
      </w:r>
      <w:r w:rsidR="00852D8D">
        <w:rPr>
          <w:rFonts w:cstheme="minorHAnsi"/>
        </w:rPr>
        <w:t>ispelling</w:t>
      </w:r>
      <w:r>
        <w:rPr>
          <w:rFonts w:cstheme="minorHAnsi"/>
        </w:rPr>
        <w:t xml:space="preserve"> the Top </w:t>
      </w:r>
      <w:r w:rsidRPr="00F059F6">
        <w:rPr>
          <w:rFonts w:cstheme="minorHAnsi"/>
        </w:rPr>
        <w:t>LAP-BAND®</w:t>
      </w:r>
      <w:r>
        <w:rPr>
          <w:rFonts w:cstheme="minorHAnsi"/>
        </w:rPr>
        <w:t xml:space="preserve"> System Myths</w:t>
      </w:r>
    </w:p>
    <w:p w14:paraId="2C450D4B" w14:textId="701BCF8F" w:rsidR="009F1686" w:rsidRDefault="009F1686" w:rsidP="009F1686">
      <w:pPr>
        <w:jc w:val="center"/>
        <w:rPr>
          <w:rFonts w:cstheme="minorHAnsi"/>
        </w:rPr>
      </w:pPr>
    </w:p>
    <w:p w14:paraId="75F68E91" w14:textId="628979B4" w:rsidR="009F1686" w:rsidRDefault="009F1686" w:rsidP="009F1686">
      <w:pPr>
        <w:jc w:val="center"/>
        <w:rPr>
          <w:rFonts w:cstheme="minorHAnsi"/>
        </w:rPr>
      </w:pPr>
      <w:r w:rsidRPr="009F1686">
        <w:rPr>
          <w:rFonts w:cstheme="minorHAnsi"/>
          <w:noProof/>
        </w:rPr>
        <w:drawing>
          <wp:inline distT="0" distB="0" distL="0" distR="0" wp14:anchorId="4F0EDB90" wp14:editId="79A11A3D">
            <wp:extent cx="2930487" cy="2069187"/>
            <wp:effectExtent l="0" t="0" r="381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39356" cy="2075449"/>
                    </a:xfrm>
                    <a:prstGeom prst="rect">
                      <a:avLst/>
                    </a:prstGeom>
                  </pic:spPr>
                </pic:pic>
              </a:graphicData>
            </a:graphic>
          </wp:inline>
        </w:drawing>
      </w:r>
    </w:p>
    <w:p w14:paraId="7D640699" w14:textId="1CBB8935" w:rsidR="009F1686" w:rsidRDefault="009F1686" w:rsidP="004C053D">
      <w:pPr>
        <w:jc w:val="center"/>
        <w:rPr>
          <w:rFonts w:cstheme="minorHAnsi"/>
        </w:rPr>
      </w:pPr>
      <w:r w:rsidRPr="009F1686">
        <w:rPr>
          <w:rFonts w:cstheme="minorHAnsi"/>
        </w:rPr>
        <w:t>https://images.pexels.com/photos/378153/pexels-photo-378153.jpeg?auto=compress&amp;cs=tinysrgb&amp;dpr=2&amp;h=650&amp;w=940</w:t>
      </w:r>
    </w:p>
    <w:p w14:paraId="123D211E" w14:textId="77777777" w:rsidR="009F1686" w:rsidRDefault="009F1686">
      <w:pPr>
        <w:rPr>
          <w:rFonts w:cstheme="minorHAnsi"/>
        </w:rPr>
      </w:pPr>
    </w:p>
    <w:p w14:paraId="111C67CD" w14:textId="61E4C0E4" w:rsidR="009F1686" w:rsidRDefault="006002A7">
      <w:pPr>
        <w:rPr>
          <w:rFonts w:cstheme="minorHAnsi"/>
        </w:rPr>
      </w:pPr>
      <w:r>
        <w:rPr>
          <w:rFonts w:cstheme="minorHAnsi"/>
        </w:rPr>
        <w:t>By now, you’ve probably completed some research on several bariatric weight loss procedures. Of course, you’ve probably run across a few myths</w:t>
      </w:r>
      <w:r w:rsidR="00B82667">
        <w:rPr>
          <w:rFonts w:cstheme="minorHAnsi"/>
        </w:rPr>
        <w:t xml:space="preserve"> about </w:t>
      </w:r>
      <w:r w:rsidR="00B82667" w:rsidRPr="00F059F6">
        <w:rPr>
          <w:rFonts w:cstheme="minorHAnsi"/>
        </w:rPr>
        <w:t>LAP-BAND®</w:t>
      </w:r>
      <w:r>
        <w:rPr>
          <w:rFonts w:cstheme="minorHAnsi"/>
        </w:rPr>
        <w:t>. It’s time to set the record straight and find out the truth</w:t>
      </w:r>
      <w:r w:rsidR="004C053D">
        <w:rPr>
          <w:rFonts w:cstheme="minorHAnsi"/>
        </w:rPr>
        <w:t>.</w:t>
      </w:r>
    </w:p>
    <w:p w14:paraId="3E4E571F" w14:textId="77777777" w:rsidR="004C053D" w:rsidRDefault="004C053D">
      <w:pPr>
        <w:rPr>
          <w:rFonts w:cstheme="minorHAnsi"/>
        </w:rPr>
      </w:pPr>
    </w:p>
    <w:p w14:paraId="71B475D1" w14:textId="5E7112E8" w:rsidR="006002A7" w:rsidRPr="004C053D" w:rsidRDefault="004C053D">
      <w:pPr>
        <w:rPr>
          <w:rFonts w:cstheme="minorHAnsi"/>
          <w:b/>
        </w:rPr>
      </w:pPr>
      <w:r w:rsidRPr="004C053D">
        <w:rPr>
          <w:rFonts w:cstheme="minorHAnsi"/>
          <w:b/>
        </w:rPr>
        <w:t>Myth #1: The Band Doesn’t Work</w:t>
      </w:r>
    </w:p>
    <w:p w14:paraId="32EF3589" w14:textId="40A71476" w:rsidR="004C053D" w:rsidRDefault="004C053D">
      <w:pPr>
        <w:rPr>
          <w:rFonts w:cstheme="minorHAnsi"/>
        </w:rPr>
      </w:pPr>
      <w:r>
        <w:rPr>
          <w:rFonts w:cstheme="minorHAnsi"/>
        </w:rPr>
        <w:t xml:space="preserve">When compared to Gastric Bypass surgery, there’s the common misconception that the LAP-BAND doesn’t work as well. Weight loss may be more gradual with the band than with Gastric Bypass, but it is still effective and much safer. Recent improvements in the surgical technique and aftercare have improved results. Some studies even show that the LAP-BAND is more successful than Gastric Bypass after five years. </w:t>
      </w:r>
    </w:p>
    <w:p w14:paraId="5927AD88" w14:textId="77777777" w:rsidR="004C053D" w:rsidRDefault="004C053D">
      <w:pPr>
        <w:rPr>
          <w:rFonts w:cstheme="minorHAnsi"/>
        </w:rPr>
      </w:pPr>
    </w:p>
    <w:p w14:paraId="45A426CF" w14:textId="62EB8322" w:rsidR="00B82667" w:rsidRPr="00B82667" w:rsidRDefault="004C053D">
      <w:pPr>
        <w:rPr>
          <w:b/>
        </w:rPr>
      </w:pPr>
      <w:r>
        <w:rPr>
          <w:b/>
        </w:rPr>
        <w:t xml:space="preserve">Myth #2: </w:t>
      </w:r>
      <w:r w:rsidR="00B82667" w:rsidRPr="00B82667">
        <w:rPr>
          <w:b/>
        </w:rPr>
        <w:t>Weight Loss isn’t Long-Term</w:t>
      </w:r>
    </w:p>
    <w:p w14:paraId="0ACE8168" w14:textId="6072F761" w:rsidR="00B82667" w:rsidRDefault="00B82667">
      <w:r>
        <w:t xml:space="preserve">Studies of participants up to 20 years after surgery show that weight loss is both substantial and long-term. This is a substantial difference between a medical weight loss program, which doesn’t show durable results beyond 2 years. </w:t>
      </w:r>
    </w:p>
    <w:p w14:paraId="5A3FA4DE" w14:textId="56A4C2AC" w:rsidR="00B82667" w:rsidRDefault="00B82667"/>
    <w:p w14:paraId="09CD1B27" w14:textId="59B629AC" w:rsidR="00B82667" w:rsidRPr="00B82667" w:rsidRDefault="004C053D">
      <w:pPr>
        <w:rPr>
          <w:b/>
        </w:rPr>
      </w:pPr>
      <w:r>
        <w:rPr>
          <w:b/>
        </w:rPr>
        <w:t xml:space="preserve">Myth #3: </w:t>
      </w:r>
      <w:r w:rsidR="00B82667" w:rsidRPr="00B82667">
        <w:rPr>
          <w:b/>
        </w:rPr>
        <w:t>Reoperations are Needed</w:t>
      </w:r>
    </w:p>
    <w:p w14:paraId="78E95FE9" w14:textId="0DE0D4C2" w:rsidR="00B82667" w:rsidRDefault="00B82667">
      <w:r>
        <w:t xml:space="preserve">In a study, reoperations were common in all types of bariatric surgery. With improved band and surgical techniques, band reoperation has become </w:t>
      </w:r>
      <w:r w:rsidR="004C053D">
        <w:t xml:space="preserve">far </w:t>
      </w:r>
      <w:r>
        <w:t>less common. A new technique means that there is less post-operative pain and easier band adjustments. Outcomes a</w:t>
      </w:r>
      <w:r w:rsidR="004C053D">
        <w:t xml:space="preserve">re far better. </w:t>
      </w:r>
    </w:p>
    <w:p w14:paraId="0246D33F" w14:textId="77777777" w:rsidR="004254C8" w:rsidRDefault="004254C8">
      <w:pPr>
        <w:rPr>
          <w:b/>
        </w:rPr>
      </w:pPr>
    </w:p>
    <w:p w14:paraId="3A336C7C" w14:textId="048F2338" w:rsidR="004254C8" w:rsidRPr="004254C8" w:rsidRDefault="004254C8">
      <w:pPr>
        <w:rPr>
          <w:b/>
        </w:rPr>
      </w:pPr>
      <w:r w:rsidRPr="004254C8">
        <w:rPr>
          <w:b/>
        </w:rPr>
        <w:t>Myth #4: Removal Rates are High</w:t>
      </w:r>
    </w:p>
    <w:p w14:paraId="55596729" w14:textId="447E2DA7" w:rsidR="004254C8" w:rsidRDefault="004254C8">
      <w:r>
        <w:t xml:space="preserve">In a December 2018 Dixon study, removal rates were only 8.74% (95% CI; 6.6% - 10.9%). The improved LAP-BAND and surgical techniques have greatly reduced removal rates. </w:t>
      </w:r>
    </w:p>
    <w:p w14:paraId="5EAD4541" w14:textId="77777777" w:rsidR="004254C8" w:rsidRDefault="004254C8"/>
    <w:p w14:paraId="4D8371D2" w14:textId="38189CDE" w:rsidR="004C053D" w:rsidRPr="004C053D" w:rsidRDefault="004C053D">
      <w:pPr>
        <w:rPr>
          <w:b/>
        </w:rPr>
      </w:pPr>
      <w:r w:rsidRPr="004C053D">
        <w:rPr>
          <w:b/>
        </w:rPr>
        <w:t>Myth #5: The Port will Set Off Metal Detectors</w:t>
      </w:r>
    </w:p>
    <w:p w14:paraId="5EBBCFB6" w14:textId="4CED8B0B" w:rsidR="004C053D" w:rsidRDefault="004C053D">
      <w:r>
        <w:t xml:space="preserve">Airport detectors vary, but typically, the port under the skin that administers the saline solution to the band is not likely to set off airport metal detectors during the first walk-through. If a </w:t>
      </w:r>
      <w:r>
        <w:lastRenderedPageBreak/>
        <w:t xml:space="preserve">patient is also wearing other metal, the combination may set it off. The port will be picked up more often than not when a secondary screening with a wand is completed. The port or band is also not an issue during an MRI test. </w:t>
      </w:r>
    </w:p>
    <w:p w14:paraId="4DE16B9D" w14:textId="77777777" w:rsidR="004C053D" w:rsidRDefault="004C053D"/>
    <w:p w14:paraId="05731642" w14:textId="0FEDDA9E" w:rsidR="004C053D" w:rsidRPr="004C053D" w:rsidRDefault="004C053D">
      <w:pPr>
        <w:rPr>
          <w:b/>
        </w:rPr>
      </w:pPr>
      <w:r>
        <w:rPr>
          <w:b/>
        </w:rPr>
        <w:t xml:space="preserve">Myth #7: </w:t>
      </w:r>
      <w:r w:rsidRPr="004C053D">
        <w:rPr>
          <w:b/>
        </w:rPr>
        <w:t>The Band is Filled with Air</w:t>
      </w:r>
    </w:p>
    <w:p w14:paraId="0A98B51A" w14:textId="5D4A869D" w:rsidR="004C053D" w:rsidRDefault="004C053D">
      <w:r>
        <w:t>The band is adjusted using a sterile saline solution.</w:t>
      </w:r>
    </w:p>
    <w:p w14:paraId="34EE4B78" w14:textId="32E89D71" w:rsidR="00B82667" w:rsidRDefault="00B82667">
      <w:pPr>
        <w:rPr>
          <w:b/>
        </w:rPr>
      </w:pPr>
    </w:p>
    <w:p w14:paraId="20ECBAD0" w14:textId="65662C4A" w:rsidR="004C053D" w:rsidRPr="004C053D" w:rsidRDefault="004C053D">
      <w:r w:rsidRPr="004C053D">
        <w:t xml:space="preserve">If you have any further questions about the LAP-BAND procedure, </w:t>
      </w:r>
      <w:r>
        <w:t>call 1-800-LAPBAND and talk to a specialist.</w:t>
      </w:r>
    </w:p>
    <w:p w14:paraId="671F4690" w14:textId="1314F34E" w:rsidR="004C053D" w:rsidRPr="004C053D" w:rsidRDefault="004C053D"/>
    <w:p w14:paraId="25C6C616" w14:textId="55AA1029" w:rsidR="004C053D" w:rsidRPr="004C053D" w:rsidRDefault="004C053D"/>
    <w:p w14:paraId="783ACA62" w14:textId="77777777" w:rsidR="004C053D" w:rsidRPr="00B82667" w:rsidRDefault="004C053D">
      <w:pPr>
        <w:rPr>
          <w:b/>
        </w:rPr>
      </w:pPr>
    </w:p>
    <w:p w14:paraId="6F13E659" w14:textId="77777777" w:rsidR="00B82667" w:rsidRPr="00B82667" w:rsidRDefault="00B82667">
      <w:pPr>
        <w:rPr>
          <w:b/>
        </w:rPr>
      </w:pPr>
      <w:r w:rsidRPr="00B82667">
        <w:rPr>
          <w:b/>
        </w:rPr>
        <w:t xml:space="preserve">Sources: </w:t>
      </w:r>
    </w:p>
    <w:p w14:paraId="7A249AF8" w14:textId="5EDE3039" w:rsidR="00B82667" w:rsidRDefault="00B82667" w:rsidP="00B82667">
      <w:pPr>
        <w:pStyle w:val="ListParagraph"/>
        <w:numPr>
          <w:ilvl w:val="0"/>
          <w:numId w:val="1"/>
        </w:numPr>
      </w:pPr>
      <w:r>
        <w:t xml:space="preserve">“Long-Term Outcomes After Bariatric Surgery: a Systematic Review and Meta-analysis of Weight Loss at 10 or More Years for All Bariatric Procedures and a Single-Centre Review of 20-Year Outcomes After Adjustable Gastric Banding” by Paul E. O’Brien, Annemarie </w:t>
      </w:r>
      <w:proofErr w:type="spellStart"/>
      <w:r>
        <w:t>Hindle</w:t>
      </w:r>
      <w:proofErr w:type="spellEnd"/>
      <w:r>
        <w:t xml:space="preserve">, Leah Brennan, Stewart Skinner, Paul Burton, et al. </w:t>
      </w:r>
    </w:p>
    <w:p w14:paraId="327DE3AF" w14:textId="37AA3F81" w:rsidR="004C053D" w:rsidRDefault="000F7963" w:rsidP="004C053D">
      <w:pPr>
        <w:pStyle w:val="ListParagraph"/>
        <w:numPr>
          <w:ilvl w:val="0"/>
          <w:numId w:val="1"/>
        </w:numPr>
        <w:rPr>
          <w:rFonts w:eastAsia="Times New Roman" w:cstheme="minorHAnsi"/>
        </w:rPr>
      </w:pPr>
      <w:hyperlink r:id="rId6" w:history="1">
        <w:r w:rsidR="004C053D" w:rsidRPr="004C053D">
          <w:rPr>
            <w:rFonts w:eastAsia="Times New Roman" w:cstheme="minorHAnsi"/>
            <w:color w:val="0000FF"/>
            <w:u w:val="single"/>
          </w:rPr>
          <w:t>http://bariatrictimes.com/myth-myth-yes-top-10-myths-about-laparoscopic-gastric-bands/</w:t>
        </w:r>
      </w:hyperlink>
    </w:p>
    <w:p w14:paraId="1952F78E" w14:textId="12CF013C" w:rsidR="004254C8" w:rsidRPr="004C053D" w:rsidRDefault="004254C8" w:rsidP="004C053D">
      <w:pPr>
        <w:pStyle w:val="ListParagraph"/>
        <w:numPr>
          <w:ilvl w:val="0"/>
          <w:numId w:val="1"/>
        </w:numPr>
        <w:rPr>
          <w:rFonts w:eastAsia="Times New Roman" w:cstheme="minorHAnsi"/>
        </w:rPr>
      </w:pPr>
      <w:r>
        <w:rPr>
          <w:rFonts w:eastAsia="Times New Roman" w:cstheme="minorHAnsi"/>
        </w:rPr>
        <w:t xml:space="preserve">Dixon JB, Eaton LL, </w:t>
      </w:r>
      <w:proofErr w:type="spellStart"/>
      <w:r>
        <w:rPr>
          <w:rFonts w:eastAsia="Times New Roman" w:cstheme="minorHAnsi"/>
        </w:rPr>
        <w:t>Currry</w:t>
      </w:r>
      <w:proofErr w:type="spellEnd"/>
      <w:r>
        <w:rPr>
          <w:rFonts w:eastAsia="Times New Roman" w:cstheme="minorHAnsi"/>
        </w:rPr>
        <w:t xml:space="preserve"> T, et. al. “Health Outcomes and Explant Rates After Laparoscopic Adjustable Gastric Banding: A Phase 4, Multicenter Study Over 5 Years.” </w:t>
      </w:r>
      <w:r w:rsidRPr="000E1D55">
        <w:rPr>
          <w:rFonts w:eastAsia="Times New Roman" w:cstheme="minorHAnsi"/>
          <w:i/>
        </w:rPr>
        <w:t xml:space="preserve">Obesity </w:t>
      </w:r>
      <w:r>
        <w:rPr>
          <w:rFonts w:eastAsia="Times New Roman" w:cstheme="minorHAnsi"/>
        </w:rPr>
        <w:t xml:space="preserve">(2018) 26, 45-52. </w:t>
      </w:r>
    </w:p>
    <w:p w14:paraId="0CECD154" w14:textId="341446CD" w:rsidR="004C053D" w:rsidRDefault="004C053D" w:rsidP="004C053D">
      <w:pPr>
        <w:pStyle w:val="ListParagraph"/>
        <w:ind w:left="772"/>
      </w:pPr>
    </w:p>
    <w:p w14:paraId="08ECE484" w14:textId="03075EB8" w:rsidR="005F67DE" w:rsidRDefault="005F67DE" w:rsidP="004C053D">
      <w:pPr>
        <w:pStyle w:val="ListParagraph"/>
        <w:ind w:left="772"/>
      </w:pPr>
    </w:p>
    <w:p w14:paraId="4CC96640" w14:textId="656481F0" w:rsidR="005F67DE" w:rsidRDefault="005F67DE" w:rsidP="004C053D">
      <w:pPr>
        <w:pStyle w:val="ListParagraph"/>
        <w:ind w:left="772"/>
      </w:pPr>
    </w:p>
    <w:p w14:paraId="5BD9B91D" w14:textId="4A9F8113" w:rsidR="005F67DE" w:rsidRDefault="005F67DE" w:rsidP="004C053D">
      <w:pPr>
        <w:pStyle w:val="ListParagraph"/>
        <w:ind w:left="772"/>
      </w:pPr>
    </w:p>
    <w:p w14:paraId="64279330" w14:textId="5D4677BF" w:rsidR="005F67DE" w:rsidRDefault="005F67DE" w:rsidP="004C053D">
      <w:pPr>
        <w:pStyle w:val="ListParagraph"/>
        <w:ind w:left="772"/>
      </w:pPr>
    </w:p>
    <w:p w14:paraId="736CB605" w14:textId="2C8FE3A4" w:rsidR="005F67DE" w:rsidRDefault="005F67DE" w:rsidP="004C053D">
      <w:pPr>
        <w:pStyle w:val="ListParagraph"/>
        <w:ind w:left="772"/>
      </w:pPr>
    </w:p>
    <w:p w14:paraId="271CCDF1" w14:textId="17155558" w:rsidR="005F67DE" w:rsidRDefault="005F67DE" w:rsidP="004C053D">
      <w:pPr>
        <w:pStyle w:val="ListParagraph"/>
        <w:ind w:left="772"/>
      </w:pPr>
    </w:p>
    <w:p w14:paraId="2877CCB0" w14:textId="16F44CDD" w:rsidR="005F67DE" w:rsidRDefault="005F67DE" w:rsidP="004C053D">
      <w:pPr>
        <w:pStyle w:val="ListParagraph"/>
        <w:ind w:left="772"/>
      </w:pPr>
    </w:p>
    <w:p w14:paraId="3535745B" w14:textId="5EBD9821" w:rsidR="005F67DE" w:rsidRDefault="005F67DE" w:rsidP="004C053D">
      <w:pPr>
        <w:pStyle w:val="ListParagraph"/>
        <w:ind w:left="772"/>
      </w:pPr>
    </w:p>
    <w:p w14:paraId="2A82185C" w14:textId="5BED4A40" w:rsidR="005F67DE" w:rsidRDefault="005F67DE" w:rsidP="004C053D">
      <w:pPr>
        <w:pStyle w:val="ListParagraph"/>
        <w:ind w:left="772"/>
      </w:pPr>
    </w:p>
    <w:p w14:paraId="3946685F" w14:textId="5D1EC64C" w:rsidR="005F67DE" w:rsidRDefault="005F67DE" w:rsidP="004C053D">
      <w:pPr>
        <w:pStyle w:val="ListParagraph"/>
        <w:ind w:left="772"/>
      </w:pPr>
    </w:p>
    <w:p w14:paraId="00AA3DE3" w14:textId="1E14CCA3" w:rsidR="005F67DE" w:rsidRDefault="005F67DE" w:rsidP="004C053D">
      <w:pPr>
        <w:pStyle w:val="ListParagraph"/>
        <w:ind w:left="772"/>
      </w:pPr>
    </w:p>
    <w:p w14:paraId="1EFB5246" w14:textId="2A900A3B" w:rsidR="005F67DE" w:rsidRDefault="005F67DE" w:rsidP="004C053D">
      <w:pPr>
        <w:pStyle w:val="ListParagraph"/>
        <w:ind w:left="772"/>
      </w:pPr>
    </w:p>
    <w:p w14:paraId="72E53D81" w14:textId="5F756BAB" w:rsidR="005F67DE" w:rsidRDefault="005F67DE" w:rsidP="004C053D">
      <w:pPr>
        <w:pStyle w:val="ListParagraph"/>
        <w:ind w:left="772"/>
      </w:pPr>
    </w:p>
    <w:p w14:paraId="36B073A3" w14:textId="2A50F900" w:rsidR="005F67DE" w:rsidRDefault="005F67DE" w:rsidP="004C053D">
      <w:pPr>
        <w:pStyle w:val="ListParagraph"/>
        <w:ind w:left="772"/>
      </w:pPr>
    </w:p>
    <w:p w14:paraId="7F6D4518" w14:textId="1E00B098" w:rsidR="005F67DE" w:rsidRDefault="005F67DE" w:rsidP="004C053D">
      <w:pPr>
        <w:pStyle w:val="ListParagraph"/>
        <w:ind w:left="772"/>
      </w:pPr>
    </w:p>
    <w:p w14:paraId="1B5C0371" w14:textId="04A7DC37" w:rsidR="005F67DE" w:rsidRPr="00953CF6" w:rsidRDefault="005F67DE" w:rsidP="005F67DE">
      <w:pPr>
        <w:rPr>
          <w:rFonts w:eastAsia="Times New Roman" w:cstheme="minorHAnsi"/>
          <w:sz w:val="36"/>
        </w:rPr>
      </w:pPr>
      <w:r w:rsidRPr="00953CF6">
        <w:rPr>
          <w:rFonts w:eastAsia="Times New Roman" w:cstheme="minorHAnsi"/>
          <w:color w:val="222222"/>
          <w:szCs w:val="20"/>
          <w:shd w:val="clear" w:color="auto" w:fill="FFFFFF"/>
        </w:rPr>
        <w:t xml:space="preserve">©2019 </w:t>
      </w:r>
      <w:proofErr w:type="spellStart"/>
      <w:r w:rsidRPr="00953CF6">
        <w:rPr>
          <w:rFonts w:eastAsia="Times New Roman" w:cstheme="minorHAnsi"/>
          <w:color w:val="222222"/>
          <w:szCs w:val="20"/>
          <w:shd w:val="clear" w:color="auto" w:fill="FFFFFF"/>
        </w:rPr>
        <w:t>ReShape</w:t>
      </w:r>
      <w:proofErr w:type="spellEnd"/>
      <w:r w:rsidRPr="00953CF6">
        <w:rPr>
          <w:rFonts w:eastAsia="Times New Roman" w:cstheme="minorHAnsi"/>
          <w:color w:val="222222"/>
          <w:szCs w:val="20"/>
          <w:shd w:val="clear" w:color="auto" w:fill="FFFFFF"/>
        </w:rPr>
        <w:t xml:space="preserve"> Lifesciences Inc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 xml:space="preserve">All Rights Reserved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Part Number</w:t>
      </w:r>
      <w:r>
        <w:rPr>
          <w:rFonts w:eastAsia="Times New Roman" w:cstheme="minorHAnsi"/>
          <w:color w:val="222222"/>
          <w:szCs w:val="20"/>
          <w:shd w:val="clear" w:color="auto" w:fill="FFFFFF"/>
        </w:rPr>
        <w:t xml:space="preserve"> 04-0463 Rev. A </w:t>
      </w:r>
    </w:p>
    <w:p w14:paraId="1B8368E6" w14:textId="77777777" w:rsidR="005F67DE" w:rsidRDefault="005F67DE" w:rsidP="004C053D">
      <w:pPr>
        <w:pStyle w:val="ListParagraph"/>
        <w:ind w:left="772"/>
      </w:pPr>
    </w:p>
    <w:sectPr w:rsidR="005F67DE"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785D25"/>
    <w:multiLevelType w:val="hybridMultilevel"/>
    <w:tmpl w:val="4F166B32"/>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686"/>
    <w:rsid w:val="000E1D55"/>
    <w:rsid w:val="000F7963"/>
    <w:rsid w:val="004254C8"/>
    <w:rsid w:val="004C053D"/>
    <w:rsid w:val="005000AE"/>
    <w:rsid w:val="005F67DE"/>
    <w:rsid w:val="006002A7"/>
    <w:rsid w:val="00852D8D"/>
    <w:rsid w:val="009F1686"/>
    <w:rsid w:val="00B82667"/>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A3D96"/>
  <w14:defaultImageDpi w14:val="32767"/>
  <w15:chartTrackingRefBased/>
  <w15:docId w15:val="{3BC0801D-BF9A-5E45-8CAE-988D61566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667"/>
    <w:pPr>
      <w:ind w:left="720"/>
      <w:contextualSpacing/>
    </w:pPr>
  </w:style>
  <w:style w:type="character" w:styleId="Hyperlink">
    <w:name w:val="Hyperlink"/>
    <w:basedOn w:val="DefaultParagraphFont"/>
    <w:uiPriority w:val="99"/>
    <w:semiHidden/>
    <w:unhideWhenUsed/>
    <w:rsid w:val="004C05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72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riatrictimes.com/myth-myth-yes-top-10-myths-about-laparoscopic-gastric-bands/"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2634</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Diane Utzman-O'Neill</cp:lastModifiedBy>
  <cp:revision>2</cp:revision>
  <dcterms:created xsi:type="dcterms:W3CDTF">2019-06-28T16:47:00Z</dcterms:created>
  <dcterms:modified xsi:type="dcterms:W3CDTF">2019-06-28T16:47:00Z</dcterms:modified>
</cp:coreProperties>
</file>